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2764B4" w14:textId="77777777" w:rsidR="00267AF2" w:rsidRDefault="00267AF2" w:rsidP="00267AF2">
      <w:pPr>
        <w:pStyle w:val="Heading3"/>
      </w:pPr>
      <w:r>
        <w:t>Preguntas frecuentes acerca de la Carta Humanitaria</w:t>
      </w:r>
    </w:p>
    <w:p w14:paraId="554F52C3" w14:textId="77777777" w:rsidR="00267AF2" w:rsidRDefault="00267AF2" w:rsidP="00267AF2">
      <w:pPr>
        <w:pStyle w:val="Heading5"/>
      </w:pPr>
      <w:r>
        <w:t>¿Qué es el enfoque basado en los derechos?</w:t>
      </w:r>
    </w:p>
    <w:p w14:paraId="5F26E8F7" w14:textId="77777777" w:rsidR="00267AF2" w:rsidRDefault="00267AF2" w:rsidP="00267AF2">
      <w:r>
        <w:t>Cuando ocurre una crisis humanitaria, ciertas preguntas clave pueden orientar un enfoque basado en derechos de una intervención humanitaria:</w:t>
      </w:r>
    </w:p>
    <w:p w14:paraId="72C43BAC" w14:textId="77777777" w:rsidR="00267AF2" w:rsidRPr="00D507F6" w:rsidRDefault="00267AF2" w:rsidP="00267AF2">
      <w:pPr>
        <w:pStyle w:val="bullet"/>
      </w:pPr>
      <w:r>
        <w:t>¿Qué derechos tienen las personas?</w:t>
      </w:r>
    </w:p>
    <w:p w14:paraId="6D321D8F" w14:textId="77777777" w:rsidR="00267AF2" w:rsidRPr="00D507F6" w:rsidRDefault="00267AF2" w:rsidP="00267AF2">
      <w:pPr>
        <w:pStyle w:val="bullet"/>
      </w:pPr>
      <w:r>
        <w:t>¿De qué derechos se les está privando?</w:t>
      </w:r>
    </w:p>
    <w:p w14:paraId="36A4DC54" w14:textId="77777777" w:rsidR="00267AF2" w:rsidRDefault="00267AF2" w:rsidP="00267AF2">
      <w:pPr>
        <w:pStyle w:val="bullet"/>
      </w:pPr>
      <w:r>
        <w:t>¿Qué oportunidades existen para cambiar el acceso</w:t>
      </w:r>
      <w:r w:rsidR="00FF478F">
        <w:t xml:space="preserve"> de las personas a sus derechos?</w:t>
      </w:r>
      <w:r w:rsidRPr="002230C6">
        <w:rPr>
          <w:rStyle w:val="FootnoteReference"/>
        </w:rPr>
        <w:footnoteReference w:id="1"/>
      </w:r>
    </w:p>
    <w:p w14:paraId="6DA55336" w14:textId="77777777" w:rsidR="00267AF2" w:rsidRDefault="00267AF2" w:rsidP="00267AF2">
      <w:r>
        <w:t>Un enfoque basado en derechos humanos identifica a los titulares de derechos y sus derechos, y a los correspondientes detentores de obligaciones y sus obligaciones, y trabaja para fortalecer las capacidades de los titulares de derechos para reclamar sus derechos y de los detentores de obligaciones para cumplir con sus obligaciones.</w:t>
      </w:r>
      <w:r w:rsidRPr="002230C6">
        <w:rPr>
          <w:rStyle w:val="FootnoteReference"/>
        </w:rPr>
        <w:footnoteReference w:id="2"/>
      </w:r>
    </w:p>
    <w:p w14:paraId="7A763081" w14:textId="77777777" w:rsidR="00267AF2" w:rsidRDefault="00267AF2" w:rsidP="00267AF2">
      <w:r>
        <w:t>En este sentido, la Carta Humanitaria es un enfoque basado en derechos hacia las intervenciones humanitarias: identifica los derechos de la población afectada y destaca el deber legal del estado como detentor de obligaciones primario y el deber ético de las organizaciones humanitarias hacia la población afectada. La Carta Humanitaria también puede utilizarse para incidencia con el estado y con las organizaciones humanitarias para que cumplan sus respectivas obligaciones legales y morales.</w:t>
      </w:r>
    </w:p>
    <w:p w14:paraId="232FC8AA" w14:textId="77777777" w:rsidR="00267AF2" w:rsidRDefault="00267AF2" w:rsidP="00267AF2">
      <w:pPr>
        <w:pStyle w:val="Heading5"/>
      </w:pPr>
      <w:r>
        <w:t>La Carta Humanitaria tiene un enfoque basado en derechos pero también menciona que se proporcionará asistencia en base a las necesidades y en proporción a las necesidades. ¿Son compatibles estos enfoques?</w:t>
      </w:r>
    </w:p>
    <w:p w14:paraId="7B31E8B6" w14:textId="1D5201C6" w:rsidR="00267AF2" w:rsidRDefault="00267AF2" w:rsidP="00267AF2">
      <w:r>
        <w:t>A pesar de que se ha enfatizado con frecuencia la dicotomía entre el enfoque basado en derechos y el enfoque basado en necesidades, las declaraciones sobre necesidades y las declaraciones sobre derechos son bastante diferentes por naturaleza, pero las dos no son in</w:t>
      </w:r>
      <w:r w:rsidR="00FF478F">
        <w:t xml:space="preserve">compatibles de ninguna manera. </w:t>
      </w:r>
      <w:r w:rsidR="0093733A">
        <w:t>“</w:t>
      </w:r>
      <w:r>
        <w:t>Una declaración sobre una necesidad (o mejor, sobre un riesgo) puede ser esenci</w:t>
      </w:r>
      <w:r w:rsidR="00FF478F">
        <w:t xml:space="preserve">al a la hora de definir el </w:t>
      </w:r>
      <w:r w:rsidR="0093733A">
        <w:t>“</w:t>
      </w:r>
      <w:r w:rsidR="00FF478F">
        <w:t>qué</w:t>
      </w:r>
      <w:r w:rsidR="0093733A">
        <w:t>”</w:t>
      </w:r>
      <w:r>
        <w:t xml:space="preserve"> de</w:t>
      </w:r>
      <w:r w:rsidR="00FF478F">
        <w:t xml:space="preserve"> la programación, y tiene por sí</w:t>
      </w:r>
      <w:r>
        <w:t xml:space="preserve"> solo un valor neutro, no siendo una declaración moral. Una declaración sobre derechos implica una reclamación moral (y quizás legal) sobre derechos, y es tan significante por su identificación de responsabilidades relacionadas como por la reclamación de los derechos en sí. Esfera es un intento de casar ambas cosas, y de combinar la fuerza moral/legal de las declaraciones sobre derechos con la especificidad de las declaracio</w:t>
      </w:r>
      <w:r w:rsidR="00FF478F">
        <w:t>nes sobre necesidades</w:t>
      </w:r>
      <w:r w:rsidR="002230C6">
        <w:t>.</w:t>
      </w:r>
      <w:r w:rsidR="0093733A">
        <w:t>”</w:t>
      </w:r>
      <w:r w:rsidRPr="002230C6">
        <w:rPr>
          <w:rStyle w:val="FootnoteReference"/>
        </w:rPr>
        <w:footnoteReference w:id="3"/>
      </w:r>
    </w:p>
    <w:p w14:paraId="44B98ED8" w14:textId="77777777" w:rsidR="00267AF2" w:rsidRDefault="00267AF2" w:rsidP="00267AF2">
      <w:pPr>
        <w:pStyle w:val="Heading5"/>
      </w:pPr>
      <w:r>
        <w:t>¿Por qué no se incluye la neutralidad como uno de los principios éticos de la Carta Humanitaria?</w:t>
      </w:r>
    </w:p>
    <w:p w14:paraId="1DA9D0B5" w14:textId="77777777" w:rsidR="00267AF2" w:rsidRDefault="00267AF2" w:rsidP="00267AF2">
      <w:r>
        <w:t>Porque la neutralidad se refiere primordialmente a una actitud adoptada con respecto a las partes de un conflicto armado. Aunque las organizaciones humanitarias están de acuerdo en que la asistencia debe ser imparcial, y que han de ser entidades independientes de los gobiernos y las partes interesadas, a menudo desean involucrarse en campañas y activismo que pueden no ser neutrales en el sent</w:t>
      </w:r>
      <w:r w:rsidR="00FF478F">
        <w:t xml:space="preserve">ido más estricto. La expresión </w:t>
      </w:r>
      <w:r w:rsidR="0093733A">
        <w:t>“</w:t>
      </w:r>
      <w:r w:rsidR="00FF478F">
        <w:t>sin partidismos</w:t>
      </w:r>
      <w:r w:rsidR="0093733A">
        <w:t>”</w:t>
      </w:r>
      <w:r>
        <w:t xml:space="preserve"> expresa la idea de que las organizaciones no tendrán afiliaciones políticas, pero no es necesario que sean neutrales si, por ejemplo, una de las partes en el conflicto está privando </w:t>
      </w:r>
      <w:proofErr w:type="gramStart"/>
      <w:r>
        <w:t>sistemáticamente</w:t>
      </w:r>
      <w:proofErr w:type="gramEnd"/>
      <w:r>
        <w:t xml:space="preserve"> a la otra de acceso humanitario, y/o cometiendo de forma activa otros abusos de derechos humanos.</w:t>
      </w:r>
    </w:p>
    <w:p w14:paraId="16B87A3C" w14:textId="77777777" w:rsidR="00267AF2" w:rsidRPr="00D507F6" w:rsidRDefault="00267AF2" w:rsidP="00267AF2">
      <w:pPr>
        <w:pStyle w:val="Heading5"/>
      </w:pPr>
      <w:r>
        <w:t>¿Cuál es la diferencia entre imparcialidad y no discriminación?</w:t>
      </w:r>
    </w:p>
    <w:p w14:paraId="3E361867" w14:textId="77777777" w:rsidR="00267AF2" w:rsidRPr="00D507F6" w:rsidRDefault="00267AF2" w:rsidP="00267AF2">
      <w:r>
        <w:t xml:space="preserve">A pesar de que las nociones de imparcialidad y no discriminación están claramente ancladas, Jean </w:t>
      </w:r>
      <w:proofErr w:type="spellStart"/>
      <w:r>
        <w:t>Pictet</w:t>
      </w:r>
      <w:proofErr w:type="spellEnd"/>
      <w:r>
        <w:t>, especialista en los Principios de la Cruz Roja, distingue tres nociones en el principio de imparcialidad: la no discriminación,</w:t>
      </w:r>
      <w:r w:rsidR="0093733A">
        <w:t xml:space="preserve"> </w:t>
      </w:r>
      <w:r>
        <w:t xml:space="preserve">la proporcionalidad y la imparcialidad en sí. </w:t>
      </w:r>
    </w:p>
    <w:p w14:paraId="3C5301A2" w14:textId="77777777" w:rsidR="00267AF2" w:rsidRDefault="00267AF2" w:rsidP="00267AF2">
      <w:r>
        <w:t>La no discriminación es la ausencia de cualquier discriminación objetiva por motivo de raza, partido político, creencia religiosa, etc. La proporcionalidad implica que cualquier persona que necesite asistencia la recibirá según sus necesidades, y la imparcialidad requiere que no se realice ninguna distinción subjetiva entre aquellos que sufren; todos tienen el derecho a recibir apoyo, sean víctimas inocentes, o personas responsables por crímenes pasados.</w:t>
      </w:r>
    </w:p>
    <w:p w14:paraId="57727200" w14:textId="77777777" w:rsidR="00700614" w:rsidRDefault="00700614" w:rsidP="00267AF2">
      <w:pPr>
        <w:sectPr w:rsidR="00700614" w:rsidSect="00F51600">
          <w:headerReference w:type="even" r:id="rId7"/>
          <w:headerReference w:type="default" r:id="rId8"/>
          <w:footerReference w:type="even" r:id="rId9"/>
          <w:footerReference w:type="default" r:id="rId10"/>
          <w:headerReference w:type="first" r:id="rId11"/>
          <w:footerReference w:type="first" r:id="rId12"/>
          <w:type w:val="continuous"/>
          <w:pgSz w:w="11906" w:h="16838"/>
          <w:pgMar w:top="1418" w:right="1247" w:bottom="851" w:left="1247" w:header="709" w:footer="454" w:gutter="0"/>
          <w:cols w:space="720"/>
          <w:titlePg/>
          <w:docGrid w:linePitch="360"/>
        </w:sectPr>
      </w:pPr>
    </w:p>
    <w:p w14:paraId="0EAB62E8" w14:textId="1A6D9057" w:rsidR="0052647A" w:rsidRDefault="005958DE" w:rsidP="0052647A">
      <w:pPr>
        <w:spacing w:before="240"/>
      </w:pPr>
      <w:r w:rsidRPr="004A5AA2">
        <w:rPr>
          <w:b/>
          <w:noProof/>
          <w:lang w:val="en-GB" w:eastAsia="en-GB"/>
        </w:rPr>
        <w:lastRenderedPageBreak/>
        <mc:AlternateContent>
          <mc:Choice Requires="wps">
            <w:drawing>
              <wp:anchor distT="0" distB="0" distL="114300" distR="114300" simplePos="0" relativeHeight="251659264" behindDoc="0" locked="0" layoutInCell="1" allowOverlap="1" wp14:anchorId="3DBFF02D" wp14:editId="78472A60">
                <wp:simplePos x="0" y="0"/>
                <wp:positionH relativeFrom="column">
                  <wp:posOffset>7987030</wp:posOffset>
                </wp:positionH>
                <wp:positionV relativeFrom="paragraph">
                  <wp:posOffset>5190490</wp:posOffset>
                </wp:positionV>
                <wp:extent cx="1122680" cy="773430"/>
                <wp:effectExtent l="0" t="0" r="0" b="0"/>
                <wp:wrapThrough wrapText="bothSides">
                  <wp:wrapPolygon edited="0">
                    <wp:start x="0" y="0"/>
                    <wp:lineTo x="0" y="21600"/>
                    <wp:lineTo x="21600" y="21600"/>
                    <wp:lineTo x="21600" y="0"/>
                  </wp:wrapPolygon>
                </wp:wrapThrough>
                <wp:docPr id="9" name="Content Placeholder 5"/>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122680" cy="773430"/>
                        </a:xfrm>
                        <a:prstGeom prst="rect">
                          <a:avLst/>
                        </a:prstGeom>
                      </wps:spPr>
                      <wps:txbx>
                        <w:txbxContent>
                          <w:p w14:paraId="60938985" w14:textId="77777777" w:rsidR="008E4982" w:rsidRPr="00E121F0" w:rsidRDefault="008E4982" w:rsidP="008E4982">
                            <w:pPr>
                              <w:pStyle w:val="NormalWeb"/>
                              <w:spacing w:before="43"/>
                              <w:jc w:val="right"/>
                              <w:rPr>
                                <w:rFonts w:ascii="Tahoma" w:eastAsia="MS Mincho" w:hAnsi="Tahoma"/>
                                <w:i/>
                                <w:iCs/>
                                <w:color w:val="000000"/>
                                <w:kern w:val="24"/>
                                <w:sz w:val="16"/>
                                <w:szCs w:val="16"/>
                                <w:lang w:val="es-ES_tradnl"/>
                              </w:rPr>
                            </w:pPr>
                            <w:r w:rsidRPr="00E121F0">
                              <w:rPr>
                                <w:rFonts w:ascii="Tahoma" w:eastAsia="MS Mincho" w:hAnsi="Tahoma"/>
                                <w:i/>
                                <w:iCs/>
                                <w:color w:val="000000"/>
                                <w:kern w:val="24"/>
                                <w:sz w:val="16"/>
                                <w:szCs w:val="16"/>
                                <w:lang w:val="es-ES_tradnl"/>
                              </w:rPr>
                              <w:t>Fuente: adaptado del curso del CICR sobre el derecho internacional humanitario</w:t>
                            </w:r>
                          </w:p>
                          <w:p w14:paraId="4DA00F30" w14:textId="170FA68F" w:rsidR="005958DE" w:rsidRDefault="008E4982" w:rsidP="008E4982">
                            <w:pPr>
                              <w:pStyle w:val="NormalWeb"/>
                              <w:spacing w:before="43" w:beforeAutospacing="0" w:after="0" w:afterAutospacing="0"/>
                              <w:jc w:val="right"/>
                            </w:pPr>
                            <w:r w:rsidRPr="008E4982">
                              <w:rPr>
                                <w:rFonts w:ascii="Tahoma" w:eastAsia="MS Mincho" w:hAnsi="Tahoma"/>
                                <w:i/>
                                <w:iCs/>
                                <w:color w:val="000000"/>
                                <w:kern w:val="24"/>
                                <w:sz w:val="18"/>
                                <w:szCs w:val="18"/>
                              </w:rPr>
                              <w:t xml:space="preserve"> </w:t>
                            </w:r>
                          </w:p>
                        </w:txbxContent>
                      </wps:txbx>
                      <wps:bodyPr vert="horz" wrap="square" lIns="91440" tIns="45720" rIns="91440" bIns="45720" rtlCol="0">
                        <a:noAutofit/>
                      </wps:bodyPr>
                    </wps:wsp>
                  </a:graphicData>
                </a:graphic>
              </wp:anchor>
            </w:drawing>
          </mc:Choice>
          <mc:Fallback>
            <w:pict>
              <v:rect w14:anchorId="3DBFF02D" id="Content Placeholder 5" o:spid="_x0000_s1026" style="position:absolute;margin-left:628.9pt;margin-top:408.7pt;width:88.4pt;height:60.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" filled="f" stroked="f">
                <v:path arrowok="t"/>
                <o:lock v:ext="edit" grouping="t"/>
                <v:textbox>
                  <w:txbxContent>
                    <w:p w14:paraId="60938985" w14:textId="77777777" w:rsidR="008E4982" w:rsidRPr="00E121F0" w:rsidRDefault="008E4982" w:rsidP="008E4982">
                      <w:pPr>
                        <w:pStyle w:val="NormalWeb"/>
                        <w:spacing w:before="43"/>
                        <w:jc w:val="right"/>
                        <w:rPr>
                          <w:rFonts w:ascii="Tahoma" w:eastAsia="MS Mincho" w:hAnsi="Tahoma"/>
                          <w:i/>
                          <w:iCs/>
                          <w:color w:val="000000"/>
                          <w:kern w:val="24"/>
                          <w:sz w:val="16"/>
                          <w:szCs w:val="16"/>
                          <w:lang w:val="es-ES_tradnl"/>
                        </w:rPr>
                      </w:pPr>
                      <w:r w:rsidRPr="00E121F0">
                        <w:rPr>
                          <w:rFonts w:ascii="Tahoma" w:eastAsia="MS Mincho" w:hAnsi="Tahoma"/>
                          <w:i/>
                          <w:iCs/>
                          <w:color w:val="000000"/>
                          <w:kern w:val="24"/>
                          <w:sz w:val="16"/>
                          <w:szCs w:val="16"/>
                          <w:lang w:val="es-ES_tradnl"/>
                        </w:rPr>
                        <w:t>Fuente: adaptado del curso del CICR sobre el derecho internacional humanitario</w:t>
                      </w:r>
                    </w:p>
                    <w:p w14:paraId="4DA00F30" w14:textId="170FA68F" w:rsidR="005958DE" w:rsidRDefault="008E4982" w:rsidP="008E4982">
                      <w:pPr>
                        <w:pStyle w:val="NormalWeb"/>
                        <w:spacing w:before="43" w:beforeAutospacing="0" w:after="0" w:afterAutospacing="0"/>
                        <w:jc w:val="right"/>
                      </w:pPr>
                      <w:r w:rsidRPr="008E4982">
                        <w:rPr>
                          <w:rFonts w:ascii="Tahoma" w:eastAsia="MS Mincho" w:hAnsi="Tahoma"/>
                          <w:i/>
                          <w:iCs/>
                          <w:color w:val="000000"/>
                          <w:kern w:val="24"/>
                          <w:sz w:val="18"/>
                          <w:szCs w:val="18"/>
                        </w:rPr>
                        <w:t xml:space="preserve"> </w:t>
                      </w:r>
                    </w:p>
                  </w:txbxContent>
                </v:textbox>
                <w10:wrap type="through"/>
              </v:rect>
            </w:pict>
          </mc:Fallback>
        </mc:AlternateContent>
      </w:r>
      <w:r>
        <w:rPr>
          <w:noProof/>
          <w:lang w:val="en-GB" w:eastAsia="en-GB"/>
        </w:rPr>
        <w:drawing>
          <wp:inline distT="0" distB="0" distL="0" distR="0" wp14:anchorId="50D51D57" wp14:editId="0E772EC4">
            <wp:extent cx="7528560" cy="590434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7528560" cy="5904343"/>
                    </a:xfrm>
                    <a:prstGeom prst="rect">
                      <a:avLst/>
                    </a:prstGeom>
                  </pic:spPr>
                </pic:pic>
              </a:graphicData>
            </a:graphic>
          </wp:inline>
        </w:drawing>
      </w:r>
      <w:bookmarkStart w:id="0" w:name="_GoBack"/>
      <w:bookmarkEnd w:id="0"/>
    </w:p>
    <w:p w14:paraId="2562AB5C" w14:textId="67EB84DB" w:rsidR="005958DE" w:rsidRDefault="005958DE" w:rsidP="00D36C3C">
      <w:pPr>
        <w:spacing w:before="0"/>
        <w:jc w:val="center"/>
        <w:rPr>
          <w:noProof/>
          <w:lang w:val="en-US" w:eastAsia="en-US"/>
        </w:rPr>
      </w:pPr>
      <w:r>
        <w:rPr>
          <w:noProof/>
          <w:lang w:val="en-GB" w:eastAsia="en-GB"/>
        </w:rPr>
        <w:lastRenderedPageBreak/>
        <w:drawing>
          <wp:inline distT="0" distB="0" distL="0" distR="0" wp14:anchorId="5154C1F0" wp14:editId="7349312E">
            <wp:extent cx="8138160" cy="5579915"/>
            <wp:effectExtent l="0" t="0" r="0" b="8255"/>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8138723" cy="5580301"/>
                    </a:xfrm>
                    <a:prstGeom prst="rect">
                      <a:avLst/>
                    </a:prstGeom>
                  </pic:spPr>
                </pic:pic>
              </a:graphicData>
            </a:graphic>
          </wp:inline>
        </w:drawing>
      </w:r>
    </w:p>
    <w:p w14:paraId="5554B153" w14:textId="648F100D" w:rsidR="005958DE" w:rsidRPr="000765B7" w:rsidRDefault="005958DE" w:rsidP="0052647A">
      <w:pPr>
        <w:spacing w:before="240"/>
      </w:pPr>
      <w:r w:rsidRPr="004A5AA2">
        <w:rPr>
          <w:b/>
          <w:noProof/>
          <w:lang w:val="en-GB" w:eastAsia="en-GB"/>
        </w:rPr>
        <mc:AlternateContent>
          <mc:Choice Requires="wps">
            <w:drawing>
              <wp:anchor distT="0" distB="0" distL="114300" distR="114300" simplePos="0" relativeHeight="251661312" behindDoc="0" locked="0" layoutInCell="1" allowOverlap="1" wp14:anchorId="5F67B762" wp14:editId="7ABB60BA">
                <wp:simplePos x="0" y="0"/>
                <wp:positionH relativeFrom="column">
                  <wp:posOffset>3699510</wp:posOffset>
                </wp:positionH>
                <wp:positionV relativeFrom="paragraph">
                  <wp:posOffset>143510</wp:posOffset>
                </wp:positionV>
                <wp:extent cx="4912360" cy="283210"/>
                <wp:effectExtent l="0" t="0" r="0" b="0"/>
                <wp:wrapThrough wrapText="bothSides">
                  <wp:wrapPolygon edited="0">
                    <wp:start x="0" y="0"/>
                    <wp:lineTo x="0" y="21600"/>
                    <wp:lineTo x="21600" y="21600"/>
                    <wp:lineTo x="21600" y="0"/>
                  </wp:wrapPolygon>
                </wp:wrapThrough>
                <wp:docPr id="4" name="Content Placeholder 5"/>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912360" cy="283210"/>
                        </a:xfrm>
                        <a:prstGeom prst="rect">
                          <a:avLst/>
                        </a:prstGeom>
                      </wps:spPr>
                      <wps:txbx>
                        <w:txbxContent>
                          <w:p w14:paraId="05C87220" w14:textId="77777777" w:rsidR="008E4982" w:rsidRPr="008E4982" w:rsidRDefault="008E4982" w:rsidP="008E4982">
                            <w:pPr>
                              <w:pStyle w:val="NormalWeb"/>
                              <w:spacing w:before="43"/>
                              <w:jc w:val="right"/>
                              <w:rPr>
                                <w:rFonts w:ascii="Tahoma" w:eastAsia="MS Mincho" w:hAnsi="Tahoma"/>
                                <w:i/>
                                <w:iCs/>
                                <w:color w:val="000000"/>
                                <w:kern w:val="24"/>
                                <w:sz w:val="18"/>
                                <w:szCs w:val="18"/>
                                <w:lang w:val="es-ES_tradnl"/>
                              </w:rPr>
                            </w:pPr>
                            <w:r w:rsidRPr="008E4982">
                              <w:rPr>
                                <w:rFonts w:ascii="Tahoma" w:eastAsia="MS Mincho" w:hAnsi="Tahoma"/>
                                <w:i/>
                                <w:iCs/>
                                <w:color w:val="000000"/>
                                <w:kern w:val="24"/>
                                <w:sz w:val="18"/>
                                <w:szCs w:val="18"/>
                                <w:lang w:val="es-ES_tradnl"/>
                              </w:rPr>
                              <w:t>Fuente: adaptado del curso del CICR sobre el derecho internacional humanitario</w:t>
                            </w:r>
                          </w:p>
                          <w:p w14:paraId="1425F635" w14:textId="0C572238" w:rsidR="005958DE" w:rsidRDefault="005958DE" w:rsidP="005958DE">
                            <w:pPr>
                              <w:pStyle w:val="NormalWeb"/>
                              <w:spacing w:before="43" w:beforeAutospacing="0" w:after="0" w:afterAutospacing="0"/>
                              <w:jc w:val="right"/>
                            </w:pPr>
                          </w:p>
                        </w:txbxContent>
                      </wps:txbx>
                      <wps:bodyPr vert="horz" wrap="square" lIns="91440" tIns="45720" rIns="91440" bIns="45720" rtlCol="0">
                        <a:noAutofit/>
                      </wps:bodyPr>
                    </wps:wsp>
                  </a:graphicData>
                </a:graphic>
                <wp14:sizeRelH relativeFrom="margin">
                  <wp14:pctWidth>0</wp14:pctWidth>
                </wp14:sizeRelH>
                <wp14:sizeRelV relativeFrom="margin">
                  <wp14:pctHeight>0</wp14:pctHeight>
                </wp14:sizeRelV>
              </wp:anchor>
            </w:drawing>
          </mc:Choice>
          <mc:Fallback>
            <w:pict>
              <v:rect w14:anchorId="5F67B762" id="_x0000_s1027" style="position:absolute;margin-left:291.3pt;margin-top:11.3pt;width:386.8pt;height:2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" filled="f" stroked="f">
                <v:path arrowok="t"/>
                <o:lock v:ext="edit" grouping="t"/>
                <v:textbox>
                  <w:txbxContent>
                    <w:p w14:paraId="05C87220" w14:textId="77777777" w:rsidR="008E4982" w:rsidRPr="008E4982" w:rsidRDefault="008E4982" w:rsidP="008E4982">
                      <w:pPr>
                        <w:pStyle w:val="NormalWeb"/>
                        <w:spacing w:before="43"/>
                        <w:jc w:val="right"/>
                        <w:rPr>
                          <w:rFonts w:ascii="Tahoma" w:eastAsia="MS Mincho" w:hAnsi="Tahoma"/>
                          <w:i/>
                          <w:iCs/>
                          <w:color w:val="000000"/>
                          <w:kern w:val="24"/>
                          <w:sz w:val="18"/>
                          <w:szCs w:val="18"/>
                          <w:lang w:val="es-ES_tradnl"/>
                        </w:rPr>
                      </w:pPr>
                      <w:r w:rsidRPr="008E4982">
                        <w:rPr>
                          <w:rFonts w:ascii="Tahoma" w:eastAsia="MS Mincho" w:hAnsi="Tahoma"/>
                          <w:i/>
                          <w:iCs/>
                          <w:color w:val="000000"/>
                          <w:kern w:val="24"/>
                          <w:sz w:val="18"/>
                          <w:szCs w:val="18"/>
                          <w:lang w:val="es-ES_tradnl"/>
                        </w:rPr>
                        <w:t>Fuente: adaptado del curso del CICR sobre el derecho internacional humanitario</w:t>
                      </w:r>
                    </w:p>
                    <w:p w14:paraId="1425F635" w14:textId="0C572238" w:rsidR="005958DE" w:rsidRDefault="005958DE" w:rsidP="005958DE">
                      <w:pPr>
                        <w:pStyle w:val="NormalWeb"/>
                        <w:spacing w:before="43" w:beforeAutospacing="0" w:after="0" w:afterAutospacing="0"/>
                        <w:jc w:val="right"/>
                      </w:pPr>
                    </w:p>
                  </w:txbxContent>
                </v:textbox>
                <w10:wrap type="through"/>
              </v:rect>
            </w:pict>
          </mc:Fallback>
        </mc:AlternateContent>
      </w:r>
    </w:p>
    <w:sectPr w:rsidR="005958DE" w:rsidRPr="000765B7" w:rsidSect="0052647A">
      <w:headerReference w:type="even" r:id="rId15"/>
      <w:headerReference w:type="default" r:id="rId16"/>
      <w:footerReference w:type="even" r:id="rId17"/>
      <w:footerReference w:type="default" r:id="rId18"/>
      <w:headerReference w:type="first" r:id="rId19"/>
      <w:footerReference w:type="first" r:id="rId20"/>
      <w:pgSz w:w="16840" w:h="11901" w:orient="landscape"/>
      <w:pgMar w:top="1134" w:right="1134" w:bottom="567" w:left="1134" w:header="709"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BDAAF4" w14:textId="77777777" w:rsidR="003B0EC3" w:rsidRDefault="003B0EC3" w:rsidP="002848CC">
      <w:pPr>
        <w:spacing w:before="0"/>
      </w:pPr>
      <w:r>
        <w:separator/>
      </w:r>
    </w:p>
  </w:endnote>
  <w:endnote w:type="continuationSeparator" w:id="0">
    <w:p w14:paraId="03B3F6EE" w14:textId="77777777" w:rsidR="003B0EC3" w:rsidRDefault="003B0EC3"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A9128" w14:textId="77777777" w:rsidR="00FB3F41" w:rsidRPr="004F1D9A" w:rsidRDefault="00FB3F41" w:rsidP="00F51600">
    <w:pPr>
      <w:pStyle w:val="Footer"/>
    </w:pPr>
    <w:r>
      <w:t>Módulo B3: Esfera, Reducción/gestión de riesgos de desastre y resiliencia. Paquete de capacitación Esfera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A7813" w14:textId="77777777" w:rsidR="00FB3F41" w:rsidRPr="00F51600" w:rsidRDefault="00FB3F41" w:rsidP="00F51600">
    <w:pPr>
      <w:pStyle w:val="Footer"/>
    </w:pPr>
    <w:r>
      <w:t>Módulo A9 – Esfera y la Carta Humanitaria</w:t>
    </w:r>
    <w:r>
      <w:tab/>
      <w:t>Paquete de capacitación Esfera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A46C3" w14:textId="77777777" w:rsidR="00FB3F41" w:rsidRPr="00F51600" w:rsidRDefault="00FB3F41" w:rsidP="00891199">
    <w:pPr>
      <w:pStyle w:val="Footer"/>
    </w:pPr>
    <w:r>
      <w:t>Módulo A9 – Esfera y la Carta Humanitaria</w:t>
    </w:r>
    <w:r>
      <w:tab/>
      <w:t>Paquete de capacitación Esfera 2015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2D46C" w14:textId="77777777" w:rsidR="00FB3F41" w:rsidRPr="0052647A" w:rsidRDefault="00FB3F41" w:rsidP="0052647A">
    <w:pPr>
      <w:pStyle w:val="Footer"/>
      <w:tabs>
        <w:tab w:val="clear" w:pos="9356"/>
        <w:tab w:val="right" w:pos="14459"/>
      </w:tabs>
    </w:pPr>
    <w:r>
      <w:t>Módulo A9 – Esfera y la Carta Humanitaria</w:t>
    </w:r>
    <w:r>
      <w:tab/>
      <w:t>Paquete de capacitación Esfera 2015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0EC6D" w14:textId="77777777" w:rsidR="00FB3F41" w:rsidRPr="00F51600" w:rsidRDefault="00FB3F41" w:rsidP="0052647A">
    <w:pPr>
      <w:pStyle w:val="Footer"/>
      <w:tabs>
        <w:tab w:val="clear" w:pos="9356"/>
        <w:tab w:val="right" w:pos="14459"/>
      </w:tabs>
    </w:pPr>
    <w:r>
      <w:t>Módulo A9 – Esfera y la Carta Humanitaria</w:t>
    </w:r>
    <w:r>
      <w:tab/>
      <w:t>Paquete de capacitación Esfera 2015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11AC0" w14:textId="77777777" w:rsidR="00FB3F41" w:rsidRPr="00F51600" w:rsidRDefault="00FB3F41" w:rsidP="00700614">
    <w:pPr>
      <w:pStyle w:val="Footer"/>
      <w:tabs>
        <w:tab w:val="clear" w:pos="9356"/>
        <w:tab w:val="right" w:pos="14459"/>
      </w:tabs>
    </w:pPr>
    <w:r>
      <w:t>Módulo A9 – Esfera y la Carta Humanitaria</w:t>
    </w:r>
    <w:r>
      <w:tab/>
      <w:t>Paquete de capacitación Esfera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1131F1" w14:textId="77777777" w:rsidR="003B0EC3" w:rsidRDefault="003B0EC3" w:rsidP="002848CC">
      <w:pPr>
        <w:spacing w:before="0"/>
      </w:pPr>
      <w:r>
        <w:separator/>
      </w:r>
    </w:p>
  </w:footnote>
  <w:footnote w:type="continuationSeparator" w:id="0">
    <w:p w14:paraId="4E8D8370" w14:textId="77777777" w:rsidR="003B0EC3" w:rsidRDefault="003B0EC3" w:rsidP="002848CC">
      <w:pPr>
        <w:spacing w:before="0"/>
      </w:pPr>
      <w:r>
        <w:continuationSeparator/>
      </w:r>
    </w:p>
  </w:footnote>
  <w:footnote w:id="1">
    <w:p w14:paraId="16928BE4" w14:textId="77777777" w:rsidR="00FB3F41" w:rsidRPr="00FF478F" w:rsidRDefault="00FB3F41" w:rsidP="00267AF2">
      <w:pPr>
        <w:pStyle w:val="FootnoteText"/>
      </w:pPr>
      <w:r>
        <w:rPr>
          <w:rStyle w:val="FootnoteReference"/>
        </w:rPr>
        <w:footnoteRef/>
      </w:r>
      <w:r w:rsidRPr="00FF478F">
        <w:t xml:space="preserve"> Extracto de </w:t>
      </w:r>
      <w:proofErr w:type="spellStart"/>
      <w:r w:rsidRPr="00FF478F">
        <w:t>Action</w:t>
      </w:r>
      <w:proofErr w:type="spellEnd"/>
      <w:r w:rsidRPr="00FF478F">
        <w:t xml:space="preserve"> </w:t>
      </w:r>
      <w:proofErr w:type="spellStart"/>
      <w:r w:rsidRPr="00FF478F">
        <w:t>Aid</w:t>
      </w:r>
      <w:proofErr w:type="spellEnd"/>
      <w:r w:rsidRPr="00FF478F">
        <w:t xml:space="preserve">: </w:t>
      </w:r>
      <w:r w:rsidR="0093733A">
        <w:t>‘</w:t>
      </w:r>
      <w:r w:rsidRPr="00FF478F">
        <w:t xml:space="preserve">The </w:t>
      </w:r>
      <w:proofErr w:type="spellStart"/>
      <w:r w:rsidRPr="00FF478F">
        <w:t>rights-based</w:t>
      </w:r>
      <w:proofErr w:type="spellEnd"/>
      <w:r w:rsidRPr="00FF478F">
        <w:t xml:space="preserve"> </w:t>
      </w:r>
      <w:proofErr w:type="spellStart"/>
      <w:r w:rsidRPr="00FF478F">
        <w:t>approach</w:t>
      </w:r>
      <w:proofErr w:type="spellEnd"/>
      <w:r w:rsidRPr="00FF478F">
        <w:t xml:space="preserve"> to </w:t>
      </w:r>
      <w:proofErr w:type="spellStart"/>
      <w:r w:rsidRPr="00FF478F">
        <w:t>emergencies</w:t>
      </w:r>
      <w:proofErr w:type="spellEnd"/>
      <w:r w:rsidRPr="00FF478F">
        <w:t xml:space="preserve">: A </w:t>
      </w:r>
      <w:proofErr w:type="spellStart"/>
      <w:r w:rsidRPr="00FF478F">
        <w:t>Beginners</w:t>
      </w:r>
      <w:proofErr w:type="spellEnd"/>
      <w:r w:rsidR="0093733A">
        <w:t>’</w:t>
      </w:r>
      <w:r w:rsidRPr="00FF478F">
        <w:t xml:space="preserve"> </w:t>
      </w:r>
      <w:proofErr w:type="spellStart"/>
      <w:r w:rsidRPr="00FF478F">
        <w:t>Guide</w:t>
      </w:r>
      <w:proofErr w:type="spellEnd"/>
      <w:r w:rsidR="0093733A">
        <w:t>’</w:t>
      </w:r>
    </w:p>
  </w:footnote>
  <w:footnote w:id="2">
    <w:p w14:paraId="0F0D6806" w14:textId="77777777" w:rsidR="00FB3F41" w:rsidRPr="006B5A6D" w:rsidRDefault="00FB3F41" w:rsidP="00267AF2">
      <w:pPr>
        <w:pStyle w:val="FootnoteText"/>
      </w:pPr>
      <w:r>
        <w:rPr>
          <w:rStyle w:val="FootnoteReference"/>
        </w:rPr>
        <w:footnoteRef/>
      </w:r>
      <w:r>
        <w:t xml:space="preserve"> </w:t>
      </w:r>
      <w:hyperlink r:id="rId1">
        <w:r>
          <w:rPr>
            <w:rStyle w:val="Hyperlink"/>
          </w:rPr>
          <w:t>www.ohchr.org/Documents/Publications/FAQen.pdf</w:t>
        </w:r>
      </w:hyperlink>
      <w:r>
        <w:rPr>
          <w:rStyle w:val="Hyperlink"/>
        </w:rPr>
        <w:t>,</w:t>
      </w:r>
      <w:r>
        <w:t xml:space="preserve"> página 15</w:t>
      </w:r>
    </w:p>
  </w:footnote>
  <w:footnote w:id="3">
    <w:p w14:paraId="105C5884" w14:textId="77777777" w:rsidR="00FB3F41" w:rsidRPr="00FF478F" w:rsidRDefault="00FB3F41" w:rsidP="00267AF2">
      <w:pPr>
        <w:pStyle w:val="FootnoteText"/>
      </w:pPr>
      <w:r>
        <w:rPr>
          <w:rStyle w:val="FootnoteReference"/>
        </w:rPr>
        <w:footnoteRef/>
      </w:r>
      <w:r w:rsidR="0093733A">
        <w:t xml:space="preserve"> </w:t>
      </w:r>
      <w:proofErr w:type="spellStart"/>
      <w:r w:rsidRPr="00FF478F">
        <w:t>Darcy</w:t>
      </w:r>
      <w:proofErr w:type="spellEnd"/>
      <w:r w:rsidRPr="00FF478F">
        <w:t xml:space="preserve"> &amp; </w:t>
      </w:r>
      <w:proofErr w:type="spellStart"/>
      <w:r w:rsidRPr="00FF478F">
        <w:t>Hofmann</w:t>
      </w:r>
      <w:proofErr w:type="spellEnd"/>
      <w:r w:rsidRPr="00FF478F">
        <w:t xml:space="preserve">, </w:t>
      </w:r>
      <w:r w:rsidR="0093733A">
        <w:t>“</w:t>
      </w:r>
      <w:proofErr w:type="spellStart"/>
      <w:r w:rsidRPr="00FF478F">
        <w:t>According</w:t>
      </w:r>
      <w:proofErr w:type="spellEnd"/>
      <w:r w:rsidRPr="00FF478F">
        <w:t xml:space="preserve"> to </w:t>
      </w:r>
      <w:proofErr w:type="spellStart"/>
      <w:r w:rsidRPr="00FF478F">
        <w:t>needs</w:t>
      </w:r>
      <w:proofErr w:type="spellEnd"/>
      <w:r w:rsidRPr="00FF478F">
        <w:t xml:space="preserve">? </w:t>
      </w:r>
      <w:proofErr w:type="spellStart"/>
      <w:r w:rsidRPr="00FF478F">
        <w:t>Needs</w:t>
      </w:r>
      <w:proofErr w:type="spellEnd"/>
      <w:r w:rsidRPr="00FF478F">
        <w:t xml:space="preserve"> </w:t>
      </w:r>
      <w:proofErr w:type="spellStart"/>
      <w:r w:rsidRPr="00FF478F">
        <w:t>assessment</w:t>
      </w:r>
      <w:proofErr w:type="spellEnd"/>
      <w:r w:rsidRPr="00FF478F">
        <w:t xml:space="preserve"> and </w:t>
      </w:r>
      <w:proofErr w:type="spellStart"/>
      <w:r w:rsidRPr="00FF478F">
        <w:t>decision-making</w:t>
      </w:r>
      <w:proofErr w:type="spellEnd"/>
      <w:r w:rsidRPr="00FF478F">
        <w:t xml:space="preserve"> in the </w:t>
      </w:r>
      <w:proofErr w:type="spellStart"/>
      <w:r w:rsidRPr="00FF478F">
        <w:t>humanitarian</w:t>
      </w:r>
      <w:proofErr w:type="spellEnd"/>
      <w:r w:rsidRPr="00FF478F">
        <w:t xml:space="preserve"> sector</w:t>
      </w:r>
      <w:r w:rsidR="0093733A">
        <w:t>”</w:t>
      </w:r>
      <w:r w:rsidRPr="00FF478F">
        <w:t xml:space="preserve">, HPG </w:t>
      </w:r>
      <w:proofErr w:type="spellStart"/>
      <w:r w:rsidRPr="00FF478F">
        <w:t>report</w:t>
      </w:r>
      <w:proofErr w:type="spellEnd"/>
      <w:r w:rsidRPr="00FF478F">
        <w:t xml:space="preserve"> 15, Sept 2003, p.27.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85A84" w14:textId="77777777" w:rsidR="00FB3F41" w:rsidRPr="004F1D9A" w:rsidRDefault="00FB3F41" w:rsidP="00891199">
    <w:pPr>
      <w:pStyle w:val="Header"/>
    </w:pPr>
    <w:r>
      <w:t>Impresos</w:t>
    </w:r>
    <w:r>
      <w:tab/>
    </w:r>
    <w:r>
      <w:rPr>
        <w:noProof/>
        <w:lang w:val="en-GB" w:eastAsia="en-GB"/>
      </w:rPr>
      <w:drawing>
        <wp:inline distT="0" distB="0" distL="0" distR="0" wp14:anchorId="6014F80D" wp14:editId="1F7CECBB">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47106" w14:textId="77777777" w:rsidR="00FB3F41" w:rsidRPr="00175CA3" w:rsidRDefault="00FB3F41" w:rsidP="00891199">
    <w:pPr>
      <w:pStyle w:val="Header"/>
    </w:pPr>
    <w:r>
      <w:t>Impresos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F499B" w14:textId="77777777" w:rsidR="00FB3F41" w:rsidRPr="001F15FC" w:rsidRDefault="00FB3F41" w:rsidP="00F51600">
    <w:pPr>
      <w:pStyle w:val="Heading1"/>
      <w:rPr>
        <w:szCs w:val="28"/>
      </w:rPr>
    </w:pPr>
    <w:r>
      <w:t>Módulo A9 – Esfera y la Carta Humanitaria</w:t>
    </w:r>
    <w:r>
      <w:tab/>
    </w:r>
    <w:r w:rsidRPr="001F15FC">
      <w:rPr>
        <w:color w:val="579305" w:themeColor="accent1"/>
        <w:szCs w:val="28"/>
      </w:rPr>
      <w:t>Impresos</w:t>
    </w:r>
  </w:p>
  <w:p w14:paraId="3557AF8D" w14:textId="5ECA1E0F" w:rsidR="00FB3F41" w:rsidRPr="00792B8B" w:rsidRDefault="00BC3211" w:rsidP="00F51600">
    <w:pPr>
      <w:pStyle w:val="Heading2"/>
      <w:pBdr>
        <w:bottom w:val="single" w:sz="4" w:space="4" w:color="004386" w:themeColor="text2"/>
      </w:pBdr>
      <w:spacing w:after="0"/>
    </w:pPr>
    <w:r>
      <w:t>¿Por qué y</w:t>
    </w:r>
    <w:r w:rsidR="0041121D">
      <w:t xml:space="preserve"> có</w:t>
    </w:r>
    <w:r w:rsidR="00FB3F41">
      <w:t xml:space="preserve">mo debe referirse a </w:t>
    </w:r>
    <w:r>
      <w:t>la Carta Humanitaria</w:t>
    </w:r>
    <w:r w:rsidR="00FB3F41">
      <w:t xml:space="preserve"> en su trabajo?</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08C32" w14:textId="77777777" w:rsidR="00FB3F41" w:rsidRPr="0052647A" w:rsidRDefault="00FB3F41" w:rsidP="0052647A">
    <w:pPr>
      <w:pStyle w:val="Header"/>
      <w:tabs>
        <w:tab w:val="clear" w:pos="9356"/>
        <w:tab w:val="right" w:pos="14601"/>
      </w:tabs>
      <w:jc w:val="left"/>
    </w:pPr>
    <w:r>
      <w:rPr>
        <w:color w:val="004386" w:themeColor="text2"/>
      </w:rPr>
      <w:t xml:space="preserve">Visión general: Fuentes de derecho internacional para la Carta Humanitaria de Esfera </w:t>
    </w:r>
    <w:r>
      <w:tab/>
      <w:t>Impresos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F716F" w14:textId="77777777" w:rsidR="00FB3F41" w:rsidRPr="0052647A" w:rsidRDefault="00FB3F41" w:rsidP="0052647A">
    <w:pPr>
      <w:pStyle w:val="Header"/>
      <w:tabs>
        <w:tab w:val="clear" w:pos="9356"/>
        <w:tab w:val="right" w:pos="14601"/>
      </w:tabs>
      <w:jc w:val="left"/>
    </w:pPr>
    <w:r>
      <w:rPr>
        <w:color w:val="004386" w:themeColor="text2"/>
      </w:rPr>
      <w:t>¿En qué situación nos encontramos y qué leyes son de aplicación?</w:t>
    </w:r>
    <w:r>
      <w:tab/>
      <w:t>Impresos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56945" w14:textId="77777777" w:rsidR="00FB3F41" w:rsidRPr="003E013F" w:rsidRDefault="00FB3F41" w:rsidP="00700614">
    <w:pPr>
      <w:pStyle w:val="Heading1"/>
      <w:tabs>
        <w:tab w:val="clear" w:pos="9356"/>
        <w:tab w:val="right" w:pos="14459"/>
      </w:tabs>
    </w:pPr>
    <w:r>
      <w:tab/>
    </w:r>
    <w:r>
      <w:rPr>
        <w:color w:val="579305" w:themeColor="accent1"/>
        <w:sz w:val="24"/>
        <w:szCs w:val="24"/>
      </w:rPr>
      <w:t>Impresos</w:t>
    </w:r>
  </w:p>
  <w:p w14:paraId="52943742" w14:textId="77777777" w:rsidR="00FB3F41" w:rsidRPr="00792B8B" w:rsidRDefault="00FB3F41" w:rsidP="00F51600">
    <w:pPr>
      <w:pStyle w:val="Heading2"/>
      <w:pBdr>
        <w:bottom w:val="single" w:sz="4" w:space="4" w:color="004386" w:themeColor="text2"/>
      </w:pBdr>
      <w:spacing w:after="0"/>
    </w:pPr>
    <w:r>
      <w:t>¿Qué es la Carta Humanitaria y como debe referirse a ella en su trabajo?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2"/>
  </w:num>
  <w:num w:numId="9">
    <w:abstractNumId w:val="7"/>
  </w:num>
  <w:num w:numId="10">
    <w:abstractNumId w:val="10"/>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1"/>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765B7"/>
    <w:rsid w:val="000C131D"/>
    <w:rsid w:val="0013229F"/>
    <w:rsid w:val="00144112"/>
    <w:rsid w:val="0015588F"/>
    <w:rsid w:val="00164B4E"/>
    <w:rsid w:val="0016592C"/>
    <w:rsid w:val="001713BA"/>
    <w:rsid w:val="001737A1"/>
    <w:rsid w:val="001740C0"/>
    <w:rsid w:val="00175CA3"/>
    <w:rsid w:val="001869EC"/>
    <w:rsid w:val="001C7F2F"/>
    <w:rsid w:val="001D0724"/>
    <w:rsid w:val="001D7A65"/>
    <w:rsid w:val="001E1BE3"/>
    <w:rsid w:val="001F15FC"/>
    <w:rsid w:val="001F455D"/>
    <w:rsid w:val="001F7F75"/>
    <w:rsid w:val="00200D4D"/>
    <w:rsid w:val="00205074"/>
    <w:rsid w:val="002201FF"/>
    <w:rsid w:val="002230C6"/>
    <w:rsid w:val="00237D09"/>
    <w:rsid w:val="00241992"/>
    <w:rsid w:val="00267AF2"/>
    <w:rsid w:val="00274BC6"/>
    <w:rsid w:val="002848CC"/>
    <w:rsid w:val="002933E5"/>
    <w:rsid w:val="002958E2"/>
    <w:rsid w:val="002D3B86"/>
    <w:rsid w:val="002F2B87"/>
    <w:rsid w:val="0030064E"/>
    <w:rsid w:val="00314ADC"/>
    <w:rsid w:val="00315E11"/>
    <w:rsid w:val="00360466"/>
    <w:rsid w:val="00370153"/>
    <w:rsid w:val="003918D7"/>
    <w:rsid w:val="003A4483"/>
    <w:rsid w:val="003B0EC3"/>
    <w:rsid w:val="003C469E"/>
    <w:rsid w:val="003C5331"/>
    <w:rsid w:val="003E013F"/>
    <w:rsid w:val="003E2279"/>
    <w:rsid w:val="003E2DB9"/>
    <w:rsid w:val="003F0EB3"/>
    <w:rsid w:val="0041121D"/>
    <w:rsid w:val="004231C3"/>
    <w:rsid w:val="0043797B"/>
    <w:rsid w:val="0045590B"/>
    <w:rsid w:val="00463DB5"/>
    <w:rsid w:val="004D7062"/>
    <w:rsid w:val="004F1D9A"/>
    <w:rsid w:val="0050225B"/>
    <w:rsid w:val="0052647A"/>
    <w:rsid w:val="00545DAA"/>
    <w:rsid w:val="005751FD"/>
    <w:rsid w:val="005848E9"/>
    <w:rsid w:val="005958DE"/>
    <w:rsid w:val="00597D6D"/>
    <w:rsid w:val="005F6AEE"/>
    <w:rsid w:val="00601FF7"/>
    <w:rsid w:val="00620E7C"/>
    <w:rsid w:val="0063519D"/>
    <w:rsid w:val="00637110"/>
    <w:rsid w:val="00690F64"/>
    <w:rsid w:val="006C099B"/>
    <w:rsid w:val="006D149B"/>
    <w:rsid w:val="006E74C4"/>
    <w:rsid w:val="00700614"/>
    <w:rsid w:val="007030AE"/>
    <w:rsid w:val="00712B47"/>
    <w:rsid w:val="00714CE1"/>
    <w:rsid w:val="00715CA8"/>
    <w:rsid w:val="00731755"/>
    <w:rsid w:val="007577CE"/>
    <w:rsid w:val="00761400"/>
    <w:rsid w:val="00775878"/>
    <w:rsid w:val="00781146"/>
    <w:rsid w:val="00792B8B"/>
    <w:rsid w:val="007A255B"/>
    <w:rsid w:val="007A4412"/>
    <w:rsid w:val="007A7ACB"/>
    <w:rsid w:val="007B3E00"/>
    <w:rsid w:val="007E479A"/>
    <w:rsid w:val="00810AFF"/>
    <w:rsid w:val="00811B63"/>
    <w:rsid w:val="00816A31"/>
    <w:rsid w:val="00825D04"/>
    <w:rsid w:val="008260A5"/>
    <w:rsid w:val="008647F3"/>
    <w:rsid w:val="008652CA"/>
    <w:rsid w:val="0087787A"/>
    <w:rsid w:val="00886C42"/>
    <w:rsid w:val="00891199"/>
    <w:rsid w:val="008B4444"/>
    <w:rsid w:val="008B7D3C"/>
    <w:rsid w:val="008E4982"/>
    <w:rsid w:val="008F7DE8"/>
    <w:rsid w:val="0090172B"/>
    <w:rsid w:val="0090692F"/>
    <w:rsid w:val="00925784"/>
    <w:rsid w:val="0093733A"/>
    <w:rsid w:val="00937519"/>
    <w:rsid w:val="009516C3"/>
    <w:rsid w:val="00971AD2"/>
    <w:rsid w:val="00981544"/>
    <w:rsid w:val="0098193F"/>
    <w:rsid w:val="00995549"/>
    <w:rsid w:val="009C6C4F"/>
    <w:rsid w:val="009D6A86"/>
    <w:rsid w:val="009D7027"/>
    <w:rsid w:val="009E270C"/>
    <w:rsid w:val="009E4123"/>
    <w:rsid w:val="009F2E5D"/>
    <w:rsid w:val="00A362E5"/>
    <w:rsid w:val="00A46634"/>
    <w:rsid w:val="00A80DF5"/>
    <w:rsid w:val="00A93E89"/>
    <w:rsid w:val="00A95124"/>
    <w:rsid w:val="00AB088B"/>
    <w:rsid w:val="00AD30D2"/>
    <w:rsid w:val="00AF36C0"/>
    <w:rsid w:val="00B014F8"/>
    <w:rsid w:val="00B40995"/>
    <w:rsid w:val="00B572C2"/>
    <w:rsid w:val="00B70E34"/>
    <w:rsid w:val="00B91AAC"/>
    <w:rsid w:val="00B97032"/>
    <w:rsid w:val="00BC3211"/>
    <w:rsid w:val="00BE3D5B"/>
    <w:rsid w:val="00C0309C"/>
    <w:rsid w:val="00C32D00"/>
    <w:rsid w:val="00C35B0F"/>
    <w:rsid w:val="00C507F3"/>
    <w:rsid w:val="00D064C5"/>
    <w:rsid w:val="00D221A6"/>
    <w:rsid w:val="00D34FFC"/>
    <w:rsid w:val="00D36C3C"/>
    <w:rsid w:val="00D54219"/>
    <w:rsid w:val="00D90736"/>
    <w:rsid w:val="00DD0F73"/>
    <w:rsid w:val="00DE202F"/>
    <w:rsid w:val="00DE210D"/>
    <w:rsid w:val="00DE21D3"/>
    <w:rsid w:val="00DF2534"/>
    <w:rsid w:val="00E121F0"/>
    <w:rsid w:val="00E15219"/>
    <w:rsid w:val="00E2620E"/>
    <w:rsid w:val="00E26D30"/>
    <w:rsid w:val="00E71C66"/>
    <w:rsid w:val="00E8474E"/>
    <w:rsid w:val="00EA1F0B"/>
    <w:rsid w:val="00EB14C9"/>
    <w:rsid w:val="00EE535D"/>
    <w:rsid w:val="00EF702B"/>
    <w:rsid w:val="00F25952"/>
    <w:rsid w:val="00F51600"/>
    <w:rsid w:val="00F52152"/>
    <w:rsid w:val="00F66ABC"/>
    <w:rsid w:val="00F67F82"/>
    <w:rsid w:val="00F97BB3"/>
    <w:rsid w:val="00FA7F78"/>
    <w:rsid w:val="00FB3F41"/>
    <w:rsid w:val="00FF478F"/>
    <w:rsid w:val="00FF745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602B25"/>
  <w15:docId w15:val="{E9170586-7067-4D0B-9A75-F2C145D2F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93733A"/>
    <w:pPr>
      <w:spacing w:before="80" w:line="240" w:lineRule="atLeast"/>
    </w:pPr>
    <w:rPr>
      <w:bCs/>
      <w:sz w:val="22"/>
      <w:szCs w:val="24"/>
      <w:lang w:val="es-ES_tradnl"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5848E9"/>
    <w:pPr>
      <w:spacing w:after="0"/>
      <w:outlineLvl w:val="2"/>
    </w:pPr>
    <w:rPr>
      <w:b/>
      <w:i w:val="0"/>
      <w:sz w:val="22"/>
      <w:szCs w:val="24"/>
    </w:rPr>
  </w:style>
  <w:style w:type="paragraph" w:styleId="Heading4">
    <w:name w:val="heading 4"/>
    <w:aliases w:val="h4"/>
    <w:basedOn w:val="Heading3"/>
    <w:next w:val="Normal"/>
    <w:link w:val="Heading4Char"/>
    <w:uiPriority w:val="9"/>
    <w:unhideWhenUsed/>
    <w:qFormat/>
    <w:rsid w:val="00F51600"/>
    <w:pPr>
      <w:keepLines/>
      <w:spacing w:after="160"/>
      <w:outlineLvl w:val="3"/>
    </w:pPr>
    <w:rPr>
      <w:rFonts w:cstheme="majorBidi"/>
    </w:rPr>
  </w:style>
  <w:style w:type="paragraph" w:styleId="Heading5">
    <w:name w:val="heading 5"/>
    <w:basedOn w:val="Normal"/>
    <w:next w:val="Normal"/>
    <w:link w:val="Heading5Char"/>
    <w:qFormat/>
    <w:rsid w:val="0052647A"/>
    <w:pPr>
      <w:spacing w:before="120"/>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5848E9"/>
    <w:rPr>
      <w:rFonts w:ascii="Tahoma" w:eastAsiaTheme="majorEastAsia" w:hAnsi="Tahoma" w:cs="Arial"/>
      <w:b/>
      <w:bCs/>
      <w:color w:val="004386" w:themeColor="text2"/>
      <w:kern w:val="32"/>
      <w:sz w:val="22"/>
      <w:szCs w:val="24"/>
      <w:lang w:val="en-GB" w:eastAsia="es-ES"/>
    </w:rPr>
  </w:style>
  <w:style w:type="character" w:customStyle="1" w:styleId="Heading4Char">
    <w:name w:val="Heading 4 Char"/>
    <w:aliases w:val="h4 Char"/>
    <w:basedOn w:val="DefaultParagraphFont"/>
    <w:link w:val="Heading4"/>
    <w:uiPriority w:val="9"/>
    <w:rsid w:val="00F51600"/>
    <w:rPr>
      <w:rFonts w:ascii="Tahoma" w:eastAsiaTheme="majorEastAsia" w:hAnsi="Tahoma" w:cstheme="majorBidi"/>
      <w:b/>
      <w:bCs/>
      <w:color w:val="004386" w:themeColor="text2"/>
      <w:kern w:val="32"/>
      <w:sz w:val="24"/>
      <w:szCs w:val="24"/>
      <w:lang w:val="en-GB" w:eastAsia="es-ES"/>
    </w:rPr>
  </w:style>
  <w:style w:type="character" w:customStyle="1" w:styleId="Heading5Char">
    <w:name w:val="Heading 5 Char"/>
    <w:basedOn w:val="DefaultParagraphFont"/>
    <w:link w:val="Heading5"/>
    <w:rsid w:val="0052647A"/>
    <w:rPr>
      <w:b/>
      <w:bCs/>
      <w:iCs/>
      <w:color w:val="004386" w:themeColor="text2"/>
      <w:sz w:val="22"/>
      <w:szCs w:val="26"/>
      <w:lang w:val="en-GB"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D34FFC"/>
    <w:pPr>
      <w:spacing w:after="120"/>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712B47"/>
    <w:pPr>
      <w:numPr>
        <w:numId w:val="16"/>
      </w:numPr>
      <w:spacing w:before="40"/>
    </w:pPr>
  </w:style>
  <w:style w:type="paragraph" w:customStyle="1" w:styleId="tablebullet">
    <w:name w:val="table bullet"/>
    <w:aliases w:val="tb"/>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FootnoteText">
    <w:name w:val="footnote text"/>
    <w:basedOn w:val="Normal"/>
    <w:link w:val="FootnoteTextChar"/>
    <w:uiPriority w:val="99"/>
    <w:semiHidden/>
    <w:unhideWhenUsed/>
    <w:rsid w:val="00712B47"/>
    <w:pPr>
      <w:keepLines/>
      <w:spacing w:before="0" w:line="240" w:lineRule="auto"/>
    </w:pPr>
    <w:rPr>
      <w:rFonts w:eastAsiaTheme="minorEastAsia"/>
      <w:bCs w:val="0"/>
      <w:sz w:val="20"/>
      <w:lang w:eastAsia="en-US"/>
    </w:rPr>
  </w:style>
  <w:style w:type="character" w:customStyle="1" w:styleId="FootnoteTextChar">
    <w:name w:val="Footnote Text Char"/>
    <w:basedOn w:val="DefaultParagraphFont"/>
    <w:link w:val="FootnoteText"/>
    <w:uiPriority w:val="99"/>
    <w:semiHidden/>
    <w:rsid w:val="00712B47"/>
    <w:rPr>
      <w:rFonts w:eastAsiaTheme="minorEastAsia"/>
      <w:szCs w:val="24"/>
      <w:lang w:val="en-GB"/>
    </w:rPr>
  </w:style>
  <w:style w:type="character" w:styleId="FootnoteReference">
    <w:name w:val="footnote reference"/>
    <w:basedOn w:val="DefaultParagraphFont"/>
    <w:uiPriority w:val="99"/>
    <w:unhideWhenUsed/>
    <w:rsid w:val="00267AF2"/>
    <w:rPr>
      <w:vertAlign w:val="superscript"/>
    </w:rPr>
  </w:style>
  <w:style w:type="paragraph" w:styleId="NormalWeb">
    <w:name w:val="Normal (Web)"/>
    <w:basedOn w:val="Normal"/>
    <w:uiPriority w:val="99"/>
    <w:semiHidden/>
    <w:unhideWhenUsed/>
    <w:rsid w:val="005958DE"/>
    <w:pPr>
      <w:spacing w:before="100" w:beforeAutospacing="1" w:after="100" w:afterAutospacing="1" w:line="240" w:lineRule="auto"/>
    </w:pPr>
    <w:rPr>
      <w:rFonts w:ascii="Times" w:eastAsiaTheme="minorEastAsia" w:hAnsi="Times"/>
      <w:bCs w:val="0"/>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emf"/><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emf"/><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ohchr.org/Documents/Publications/FAQ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592</Words>
  <Characters>3380</Characters>
  <Application>Microsoft Office Word</Application>
  <DocSecurity>0</DocSecurity>
  <Lines>28</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3965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CeciliaFurtade</cp:lastModifiedBy>
  <cp:revision>3</cp:revision>
  <cp:lastPrinted>2015-01-05T09:17:00Z</cp:lastPrinted>
  <dcterms:created xsi:type="dcterms:W3CDTF">2015-02-04T14:52:00Z</dcterms:created>
  <dcterms:modified xsi:type="dcterms:W3CDTF">2015-02-04T14:53:00Z</dcterms:modified>
</cp:coreProperties>
</file>